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center"/>
        <w:outlineLvl w:val="0"/>
      </w:pPr>
      <w:bookmarkStart w:id="0" w:name="_GoBack"/>
      <w:bookmarkEnd w:id="0"/>
      <w:r>
        <w:t>СУДЕБНАЯ КОЛЛЕГИЯ ПО ЭКОНОМИЧЕСКИМ СПОРАМ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center"/>
        <w:outlineLvl w:val="1"/>
      </w:pPr>
      <w:r>
        <w:t>Практика применения законодательства о банкротстве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 xml:space="preserve">14. </w:t>
      </w:r>
      <w:proofErr w:type="gramStart"/>
      <w:r>
        <w:t xml:space="preserve">Требование о взыскании неустойки как обеспеченное залогом имущества должника учитывается отдельно в реестре требований кредиторов и подлежит удовлетворению после погашения основной суммы задолженности и причитающихся процентов за пользование денежными </w:t>
      </w:r>
      <w:r>
        <w:t xml:space="preserve">средствами по требованиям всех кредиторов третьей очереди, включая </w:t>
      </w:r>
      <w:proofErr w:type="spellStart"/>
      <w:r>
        <w:t>незалоговых</w:t>
      </w:r>
      <w:proofErr w:type="spellEnd"/>
      <w:r>
        <w:t>, однако оно имеет залоговое преимущество перед удовлетворением необеспеченных требований других кредиторов по взысканию финансовых санкций.</w:t>
      </w:r>
      <w:proofErr w:type="gramEnd"/>
    </w:p>
    <w:p w:rsidR="00000000" w:rsidRDefault="007B6E12">
      <w:pPr>
        <w:pStyle w:val="ConsPlusNormal"/>
        <w:ind w:firstLine="540"/>
        <w:jc w:val="both"/>
      </w:pPr>
      <w:r>
        <w:t xml:space="preserve">Кредитор обратился </w:t>
      </w:r>
      <w:proofErr w:type="gramStart"/>
      <w:r>
        <w:t xml:space="preserve">в арбитражный суд </w:t>
      </w:r>
      <w:r>
        <w:t>с заявлением о включении в реестр требований кредиторов должника задолженности по кредитному договору</w:t>
      </w:r>
      <w:proofErr w:type="gramEnd"/>
      <w:r>
        <w:t>, процентов за пользование денежными средствами и неустойки, начисленной за просрочку исполнения обязательства.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Определением суда первой инстанции, оставле</w:t>
      </w:r>
      <w:r>
        <w:t>нным без изменения постановлениями суда апелляционной инстанции и арбитражного суда округа, заявление удовлетворено в части, требования, составляющие сумму основного долга и процентов за пользование денежными средствами, включены в реестр требований кредит</w:t>
      </w:r>
      <w:r>
        <w:t>оров должника в составе третьей очереди и признаны обеспеченными залогом имущества должника, требование о взыскании неустойки включено в реестр требований кредиторов должника как необеспеченное залогом имущества</w:t>
      </w:r>
      <w:proofErr w:type="gramEnd"/>
      <w:r>
        <w:t xml:space="preserve"> должника. </w:t>
      </w:r>
      <w:proofErr w:type="gramStart"/>
      <w:r>
        <w:t>Суды руководствовались ст. 137, 13</w:t>
      </w:r>
      <w:r>
        <w:t xml:space="preserve">8 Федерального закона от 26 октября 2002 г. N 127-ФЗ "О несостоятельности (банкротстве)" (далее - Закон о банкротстве), </w:t>
      </w:r>
      <w:proofErr w:type="spellStart"/>
      <w:r>
        <w:t>пп</w:t>
      </w:r>
      <w:proofErr w:type="spellEnd"/>
      <w:r>
        <w:t>. 15 - 17 постановления Пленума Высшего Арбитражного Суда Российской Федерации от 23 июля 2009 г. N 58 "О некоторых вопросах, связанны</w:t>
      </w:r>
      <w:r>
        <w:t>х с удовлетворением требований залогодержателя при банкротстве залогодателя" (далее - постановление N 58) и исходили из того, что требования о</w:t>
      </w:r>
      <w:proofErr w:type="gramEnd"/>
      <w:r>
        <w:t xml:space="preserve"> </w:t>
      </w:r>
      <w:proofErr w:type="gramStart"/>
      <w:r>
        <w:t>взыскании</w:t>
      </w:r>
      <w:proofErr w:type="gramEnd"/>
      <w:r>
        <w:t xml:space="preserve"> неустойки не обладают преимуществом перед </w:t>
      </w:r>
      <w:proofErr w:type="spellStart"/>
      <w:r>
        <w:t>незалоговыми</w:t>
      </w:r>
      <w:proofErr w:type="spellEnd"/>
      <w:r>
        <w:t xml:space="preserve"> требованиями об уплате основного долга и процент</w:t>
      </w:r>
      <w:r>
        <w:t>ов за пользование денежными средствами.</w:t>
      </w:r>
    </w:p>
    <w:p w:rsidR="00000000" w:rsidRDefault="007B6E12">
      <w:pPr>
        <w:pStyle w:val="ConsPlusNormal"/>
        <w:ind w:firstLine="540"/>
        <w:jc w:val="both"/>
      </w:pPr>
      <w:r>
        <w:t xml:space="preserve">Судебная коллегия Верховного Суда Российской Федерации изменила названные судебные акты и признала обеспеченным </w:t>
      </w:r>
      <w:proofErr w:type="gramStart"/>
      <w:r>
        <w:t>залогом</w:t>
      </w:r>
      <w:proofErr w:type="gramEnd"/>
      <w:r>
        <w:t xml:space="preserve"> в том числе требование о взыскании неустойки по следующим основаниям.</w:t>
      </w:r>
    </w:p>
    <w:p w:rsidR="00000000" w:rsidRDefault="007B6E12">
      <w:pPr>
        <w:pStyle w:val="ConsPlusNormal"/>
        <w:ind w:firstLine="540"/>
        <w:jc w:val="both"/>
      </w:pPr>
      <w:r>
        <w:t xml:space="preserve">В соответствии с п. 1 ст. </w:t>
      </w:r>
      <w:r>
        <w:t>334 ГК РФ в случае неисполнения должником обязательства, обеспеченного залогом, кредитор вправе получить удовлетворение из стоимости заложенного имущества преимущественно перед другими кредиторами залогодателя. По общему правилу залог обеспечивает требован</w:t>
      </w:r>
      <w:r>
        <w:t>ие в том объеме, какой оно имеет к моменту удовлетворения, в том числе неустойку (ст. 337 ГК РФ).</w:t>
      </w:r>
    </w:p>
    <w:p w:rsidR="00000000" w:rsidRDefault="007B6E12">
      <w:pPr>
        <w:pStyle w:val="ConsPlusNormal"/>
        <w:ind w:firstLine="540"/>
        <w:jc w:val="both"/>
      </w:pPr>
      <w:r>
        <w:t>Из положений п. 4 ст. 134 Закона о банкротстве следует, что в случае банкротства заемщика требования кредитора по кредитному договору включаются в третью очер</w:t>
      </w:r>
      <w:r>
        <w:t>едь реестра требований кредиторов. При этом требование о взыскании неустойки учитывается отдельно в реестре требований кредиторов и подлежит удовлетворению после погашения основной суммы задолженности и причитающихся процентов (п. 3 ст. 137 Закона о банкро</w:t>
      </w:r>
      <w:r>
        <w:t>тстве).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 xml:space="preserve">Если требования конкурсного кредитора по кредитному договору обеспечены залогом имущества должника, то они погашаются в порядке, установленном </w:t>
      </w:r>
      <w:proofErr w:type="spellStart"/>
      <w:r>
        <w:t>пп</w:t>
      </w:r>
      <w:proofErr w:type="spellEnd"/>
      <w:r>
        <w:t>. 2, 2.1 статьи 138 Закона о банкротстве: на погашение требований указанного конкурсного кредитора напр</w:t>
      </w:r>
      <w:r>
        <w:t>авляется 80 процентов из средств, вырученных от реализации предмета залога, но не более чем основная сумма задолженности по обеспеченному залогом обязательству и причитающихся процентов.</w:t>
      </w:r>
      <w:proofErr w:type="gramEnd"/>
      <w:r>
        <w:t xml:space="preserve"> Кроме того, требования залогового кредитора погашаются за счет денежн</w:t>
      </w:r>
      <w:r>
        <w:t>ых средств, оставшихся на специальном банковском счете после погашения требований кредиторов первой и второй очереди.</w:t>
      </w:r>
    </w:p>
    <w:p w:rsidR="00000000" w:rsidRDefault="007B6E12">
      <w:pPr>
        <w:pStyle w:val="ConsPlusNormal"/>
        <w:ind w:firstLine="540"/>
        <w:jc w:val="both"/>
      </w:pPr>
      <w:r>
        <w:t>Ни законом, ни кредитным договором не предусмотрено, что в случае банкротства заемщика залог в отношении требования по взысканию неустойки</w:t>
      </w:r>
      <w:r>
        <w:t>, возникшего в связи с неисполнением обеспеченного залогом обязательства, прекращается. Данные требования подлежат удовлетворению в очередности, установленной в п. 3 ст. 137 Закона о банкротстве (п. 17 постановления N 58), преимущественно по отношению к тр</w:t>
      </w:r>
      <w:r>
        <w:t>ебованиям кредиторов третьей очереди по санкциям, не обеспеченным залогом.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Определение N 301-ЭС16-17271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 xml:space="preserve">15. </w:t>
      </w:r>
      <w:proofErr w:type="gramStart"/>
      <w:r>
        <w:t>Если третье лицо исполнило обязательство должника согласно условиям заключенного ими соглашения, не предполагающего возмещения третьему лицу соотв</w:t>
      </w:r>
      <w:r>
        <w:t>етствующих расходов, и воспользовалось платежными документами, заявив требование о включении указанных сумм в реестр требований кредиторов должника лишь с противоправной целью уменьшения в интересах должника количества голосов, приходящихся на долю независ</w:t>
      </w:r>
      <w:r>
        <w:t>имых кредиторов, требование третьего лица не подлежит включению в реестр требований кредиторов должника.</w:t>
      </w:r>
      <w:proofErr w:type="gramEnd"/>
    </w:p>
    <w:p w:rsidR="00000000" w:rsidRDefault="007B6E12">
      <w:pPr>
        <w:pStyle w:val="ConsPlusNormal"/>
        <w:ind w:firstLine="540"/>
        <w:jc w:val="both"/>
      </w:pPr>
      <w:r>
        <w:t xml:space="preserve">В рамках дела о несостоятельности (банкротстве) М. в арбитражный суд с заявлением о включении в </w:t>
      </w:r>
      <w:r>
        <w:lastRenderedPageBreak/>
        <w:t>реестр требований кредиторов должника обратилась П., сс</w:t>
      </w:r>
      <w:r>
        <w:t>ылаясь на то, что она произвела оплату задолженности М. по кредитному договору.</w:t>
      </w:r>
    </w:p>
    <w:p w:rsidR="00000000" w:rsidRDefault="007B6E12">
      <w:pPr>
        <w:pStyle w:val="ConsPlusNormal"/>
        <w:ind w:firstLine="540"/>
        <w:jc w:val="both"/>
      </w:pPr>
      <w:r>
        <w:t>Определением суда первой инстанции, оставленным без изменения постановлениями суда апелляционной инстанции и арбитражного суда округа, требования П. признаны обоснованными и вк</w:t>
      </w:r>
      <w:r>
        <w:t>лючены в реестр требований кредиторов должника с удовлетворением в третью очередь.</w:t>
      </w:r>
    </w:p>
    <w:p w:rsidR="00000000" w:rsidRDefault="007B6E12">
      <w:pPr>
        <w:pStyle w:val="ConsPlusNormal"/>
        <w:ind w:firstLine="540"/>
        <w:jc w:val="both"/>
      </w:pPr>
      <w:r>
        <w:t>Судебная коллегия Верховного Суда Российской Федерации отменила названные судебные акты и направила дело на новое рассмотрение по следующим основаниям.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 xml:space="preserve">По смыслу ст. 313 ГК </w:t>
      </w:r>
      <w:r>
        <w:t>РФ в случае, когда исполнение обязательства возложено должником на третье лицо, последствия такого исполнения в отношениях между третьим лицом и должником регулируются соглашением между ними, а не правилами о суброгации (абзац первый п. 21 постановления Пл</w:t>
      </w:r>
      <w:r>
        <w:t>енума Верховного Суда Российской Федерации от 22 ноября 2016 г. N 54 "О некоторых вопросах применения общих положений Гражданского кодекса</w:t>
      </w:r>
      <w:proofErr w:type="gramEnd"/>
      <w:r>
        <w:t xml:space="preserve"> </w:t>
      </w:r>
      <w:proofErr w:type="gramStart"/>
      <w:r>
        <w:t>Российской Федерации об обязательствах и их исполнении").</w:t>
      </w:r>
      <w:proofErr w:type="gramEnd"/>
      <w:r>
        <w:t xml:space="preserve"> Это соглашение может являться сделкой, опосредующей заемные</w:t>
      </w:r>
      <w:r>
        <w:t xml:space="preserve"> отношения между третьим лицом и должником, договором, предусматривающим дарение третьим лицом должнику исполненного в пользу кредитора, соглашением о погашении существующего обязательства третьего лица перед должником посредством платежа третьего лица в п</w:t>
      </w:r>
      <w:r>
        <w:t>ользу кредитора должника и т.д.</w:t>
      </w:r>
    </w:p>
    <w:p w:rsidR="00000000" w:rsidRDefault="007B6E12">
      <w:pPr>
        <w:pStyle w:val="ConsPlusNormal"/>
        <w:ind w:firstLine="540"/>
        <w:jc w:val="both"/>
      </w:pPr>
      <w:r>
        <w:t>Возражая против включения требований П. в реестр требований кредиторов должника, один из кредиторов ссылался на то, что М. и П. - родственники (брат и сестра). Также кредитор обращал внимание на то, что М. контролировал груп</w:t>
      </w:r>
      <w:r>
        <w:t>пу компаний, являясь ее конечным бенефициаром, П. была связана с данной группой компаний, выступая участницей ряда организаций, входящих в эту группу. Суды не проверили указанные доводы кредитора, тогда как они имели существенное значение для правильного р</w:t>
      </w:r>
      <w:r>
        <w:t>азрешения спора.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Гражданское законодательство основывается на презумпции разумности действий участников гражданских правоотношений (ст. 10 ГК РФ), поэтому в ситуации, когда родственник бенефициара группы компаний, ведущий с ним общий бизнес, систематически</w:t>
      </w:r>
      <w:r>
        <w:t xml:space="preserve"> производит платежи за этого бенефициара его кредитору, предполагается, что в основе операций по погашению чужого долга лежит договоренность между бенефициаром и его родственником - заключенная ими сделка, определяющая условия взаиморасчетов.</w:t>
      </w:r>
      <w:proofErr w:type="gramEnd"/>
    </w:p>
    <w:p w:rsidR="00000000" w:rsidRDefault="007B6E12">
      <w:pPr>
        <w:pStyle w:val="ConsPlusNormal"/>
        <w:ind w:firstLine="540"/>
        <w:jc w:val="both"/>
      </w:pPr>
      <w:r>
        <w:t>Если обстояте</w:t>
      </w:r>
      <w:r>
        <w:t>льства, на которые указывал кредитор, соответствовали действительности, судам согласно положениям ст. 65 АПК РФ следовало возложить на П. бремя их опровержения - обоснования разумных причин того, что она погашала задолженность за М., предварительно не огов</w:t>
      </w:r>
      <w:r>
        <w:t>орив с ним последствия своих действий.</w:t>
      </w:r>
    </w:p>
    <w:p w:rsidR="00000000" w:rsidRDefault="007B6E12">
      <w:pPr>
        <w:pStyle w:val="ConsPlusNormal"/>
        <w:ind w:firstLine="540"/>
        <w:jc w:val="both"/>
      </w:pPr>
      <w:r>
        <w:t>Поскольку ни П., ни М. не представили в материалы дела письменный текст соглашения, судам следовало установить существо связывающей их сделки путем исследования обстоятельств, касающихся исполнения П. обязательств М.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 xml:space="preserve">Кредитор полагал, что обстоятельства совершения платежей и последующее поведение сторон (ежемесячное перечисление в течение продолжительного периода времени, наличие между П. и М родственных связей (брат и сестра), длительное </w:t>
      </w:r>
      <w:proofErr w:type="spellStart"/>
      <w:r>
        <w:t>непредъявление</w:t>
      </w:r>
      <w:proofErr w:type="spellEnd"/>
      <w:r>
        <w:t xml:space="preserve"> П. финансовых п</w:t>
      </w:r>
      <w:r>
        <w:t xml:space="preserve">ретензий М. вплоть до возбуждения дела о банкротстве последнего, </w:t>
      </w:r>
      <w:proofErr w:type="spellStart"/>
      <w:r>
        <w:t>нераскрытие</w:t>
      </w:r>
      <w:proofErr w:type="spellEnd"/>
      <w:r>
        <w:t xml:space="preserve"> информации о каком-либо возмездном соглашении, заключенном ими), свидетельствовали о том, что П. осуществляла эти платежи во исполнение безвозмездной сделки</w:t>
      </w:r>
      <w:proofErr w:type="gramEnd"/>
      <w:r>
        <w:t>, заключенной с М., а в</w:t>
      </w:r>
      <w:r>
        <w:t>последствии (после возбуждения дела о банкротстве) воспользовалась платежными документами исключительно с противоправной целью уменьшения в интересах М. количества голосов, приходящихся на долю независимых кредиторов.</w:t>
      </w:r>
    </w:p>
    <w:p w:rsidR="00000000" w:rsidRDefault="007B6E12">
      <w:pPr>
        <w:pStyle w:val="ConsPlusNormal"/>
        <w:ind w:firstLine="540"/>
        <w:jc w:val="both"/>
      </w:pPr>
      <w:r>
        <w:t xml:space="preserve">Данные доводы суды в </w:t>
      </w:r>
      <w:r>
        <w:t>нарушение требований ст. 71 АПК РФ не проверили. Однако при их подтверждении оснований для включения требований П. в реестр кредиторов М. не имелось.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Определение N 306-ЭС16-17647 (7)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 xml:space="preserve">16. В </w:t>
      </w:r>
      <w:proofErr w:type="gramStart"/>
      <w:r>
        <w:t>случае</w:t>
      </w:r>
      <w:proofErr w:type="gramEnd"/>
      <w:r>
        <w:t xml:space="preserve"> когда должники по обеспечительным обязательствам входят в </w:t>
      </w:r>
      <w:r>
        <w:t xml:space="preserve">группу лиц с основным должником, объединены с ним общими экономическими интересами и контролируются одним конечным бенефициаром, </w:t>
      </w:r>
      <w:proofErr w:type="spellStart"/>
      <w:r>
        <w:t>презюмируется</w:t>
      </w:r>
      <w:proofErr w:type="spellEnd"/>
      <w:r>
        <w:t>, что предоставленные обеспечения являются совместными, а должники по обеспечительным договорам - солидарными долж</w:t>
      </w:r>
      <w:r>
        <w:t>никами. При этом частично удовлетворивший кредитора должник по обеспечительному обязательству не может получить возмещение своих расходов от других должников до полного удовлетворения кредитора.</w:t>
      </w:r>
    </w:p>
    <w:p w:rsidR="00000000" w:rsidRDefault="007B6E12">
      <w:pPr>
        <w:pStyle w:val="ConsPlusNormal"/>
        <w:ind w:firstLine="540"/>
        <w:jc w:val="both"/>
      </w:pPr>
      <w:r>
        <w:t>Банк и общество (заемщик) заключили кредитный договор. Ряд ко</w:t>
      </w:r>
      <w:r>
        <w:t xml:space="preserve">мпаний передали в </w:t>
      </w:r>
      <w:proofErr w:type="gramStart"/>
      <w:r>
        <w:t>залог банку</w:t>
      </w:r>
      <w:proofErr w:type="gramEnd"/>
      <w:r>
        <w:t xml:space="preserve"> недвижимое имущество в обеспечение исполнения обязательств заемщика. М. также поручился за заемщика перед банком.</w:t>
      </w:r>
    </w:p>
    <w:p w:rsidR="00000000" w:rsidRDefault="007B6E12">
      <w:pPr>
        <w:pStyle w:val="ConsPlusNormal"/>
        <w:ind w:firstLine="540"/>
        <w:jc w:val="both"/>
      </w:pPr>
      <w:r>
        <w:t>Решением суда общей юрисдикции с М. как с поручителя в пользу банка взыскано 181 147 677 рублей задолженности по</w:t>
      </w:r>
      <w:r>
        <w:t xml:space="preserve"> договору займа.</w:t>
      </w:r>
    </w:p>
    <w:p w:rsidR="00000000" w:rsidRDefault="007B6E12">
      <w:pPr>
        <w:pStyle w:val="ConsPlusNormal"/>
        <w:ind w:firstLine="540"/>
        <w:jc w:val="both"/>
      </w:pPr>
      <w:r>
        <w:lastRenderedPageBreak/>
        <w:t>Компания передала банку заложенное имущество, оцененное в 9 052 500 рублей, в счет погашения задолженности общества по кредитному договору.</w:t>
      </w:r>
    </w:p>
    <w:p w:rsidR="00000000" w:rsidRDefault="007B6E12">
      <w:pPr>
        <w:pStyle w:val="ConsPlusNormal"/>
        <w:ind w:firstLine="540"/>
        <w:jc w:val="both"/>
      </w:pPr>
      <w:r>
        <w:t>Компания обратилась в арбитражный суд с заявлением о включении 9 052 500 рублей в реестр требований</w:t>
      </w:r>
      <w:r>
        <w:t xml:space="preserve"> кредиторов М. (поручитель), ссылаясь на то, что к ней перешло требование банка в указанной части по кредитному договору и по обеспечительным сделкам.</w:t>
      </w:r>
    </w:p>
    <w:p w:rsidR="00000000" w:rsidRDefault="007B6E12">
      <w:pPr>
        <w:pStyle w:val="ConsPlusNormal"/>
        <w:ind w:firstLine="540"/>
        <w:jc w:val="both"/>
      </w:pPr>
      <w:r>
        <w:t>Определением суда первой инстанции, оставленным без изменения постановлениями суда апелляционной инстанци</w:t>
      </w:r>
      <w:r>
        <w:t>и и арбитражного суда округа, требование компании признано обоснованным и включено в реестр требований кредиторов М. с удовлетворением в третью очередь.</w:t>
      </w:r>
    </w:p>
    <w:p w:rsidR="00000000" w:rsidRDefault="007B6E12">
      <w:pPr>
        <w:pStyle w:val="ConsPlusNormal"/>
        <w:ind w:firstLine="540"/>
        <w:jc w:val="both"/>
      </w:pPr>
      <w:r>
        <w:t>Судебная коллегия Верховного Суда Российской Федерации отменила названные судебные акты и направила обо</w:t>
      </w:r>
      <w:r>
        <w:t>собленный спор на новое рассмотрение по следующим основаниям.</w:t>
      </w:r>
    </w:p>
    <w:p w:rsidR="00000000" w:rsidRDefault="007B6E12">
      <w:pPr>
        <w:pStyle w:val="ConsPlusNormal"/>
        <w:ind w:firstLine="540"/>
        <w:jc w:val="both"/>
      </w:pPr>
      <w:r>
        <w:t>Банк обращал внимание судов на зависимый характер обеспечения, предоставленного компанией по долгам общества, входящего в группу юридических лиц, контролируемых М. как конечным бенефициаром чере</w:t>
      </w:r>
      <w:r>
        <w:t>з родственников и аффилированные (связанные) с ним структуры.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В ситуации, когда одно лицо, входящее в группу компаний, получает кредитные средства, а другие лица, входящие в ту же группу, объединенные с заемщиком общими экономическими интересами, контролир</w:t>
      </w:r>
      <w:r>
        <w:t>уемые одним и тем же конечным бенефициаром, предоставляют обеспечение в момент получения финансирования, зная об обеспечительных обязательствах внутри группы, предполагается, что соответствующее обеспечение направлено на пропорциональное распределение риск</w:t>
      </w:r>
      <w:r>
        <w:t>а дефолта заемщика между всеми членами такой</w:t>
      </w:r>
      <w:proofErr w:type="gramEnd"/>
      <w:r>
        <w:t xml:space="preserve"> группы компаний вне зависимости от того, как оформлено обеспечение (одним документом либо </w:t>
      </w:r>
      <w:proofErr w:type="gramStart"/>
      <w:r>
        <w:t>разными</w:t>
      </w:r>
      <w:proofErr w:type="gramEnd"/>
      <w:r>
        <w:t>), что позволяет квалифицировать подобное обеспечение как совместное обеспечение. Иное может быть оговорено в согл</w:t>
      </w:r>
      <w:r>
        <w:t xml:space="preserve">ашении между лицами, предоставившими обеспечение, или вытекать из существа отношений между ними. Предоставившие совместное обеспечение лица являются солидарными должниками по отношению к кредитору. </w:t>
      </w:r>
      <w:proofErr w:type="gramStart"/>
      <w:r>
        <w:t>При исполнении одним из таких солидарных должников обязате</w:t>
      </w:r>
      <w:r>
        <w:t>льства перед кредитором к нему в порядке</w:t>
      </w:r>
      <w:proofErr w:type="gramEnd"/>
      <w:r>
        <w:t xml:space="preserve"> суброгации переходит требование к основному должнику (абзац четвертый ст. 387 ГК РФ). Однако его отношения с другими выдавшими обеспечение членами группы по общему правилу регулируются положениями п. 2 ст. 325 ГК РФ</w:t>
      </w:r>
      <w:r>
        <w:t xml:space="preserve"> о регрессе: он вправе предъявить регрессные требования к каждому из лиц, выдавших обеспечение, в сумме, соответствующей их доле в обеспечении обязательства, за вычетом доли, падающей на него самого. Аналогичный вывод следует из смысла правовой позиции Пле</w:t>
      </w:r>
      <w:r>
        <w:t>нума Высшего Арбитражного Суда Российской Федерации, изложенной в абзацах втором и третьем п. 27 постановления от 12 июня 2012 г. N 42 "О некоторых вопросах разрешения споров, связанных с поручительством" (далее - постановление N 42).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Суды ошибочно не иссл</w:t>
      </w:r>
      <w:r>
        <w:t xml:space="preserve">едовали входящие в круг обстоятельств, подлежащих установлению в рамках обособленного спора, вопросы о том, действительно ли существовала группа юридических лиц, контролируемая М., имелось ли волеизъявление членов этой группы на предоставление совместного </w:t>
      </w:r>
      <w:r>
        <w:t>обеспечения, не определили долю каждого члена группы в обеспечении кредитных обязательств (при условии выдачи ими совместного обеспечения).</w:t>
      </w:r>
      <w:proofErr w:type="gramEnd"/>
    </w:p>
    <w:p w:rsidR="00000000" w:rsidRDefault="007B6E12">
      <w:pPr>
        <w:pStyle w:val="ConsPlusNormal"/>
        <w:ind w:firstLine="540"/>
        <w:jc w:val="both"/>
      </w:pPr>
      <w:proofErr w:type="gramStart"/>
      <w:r>
        <w:t>Кроме того, по смыслу п. 2 ст. 325 ГК РФ, если иное не установлено соглашением между солидарными должниками, предост</w:t>
      </w:r>
      <w:r>
        <w:t>авившими совместное обеспечение, и не вытекает из отношений между ними, право регрессного требования к остальным должникам в обеспечительном обязательстве имеет не любой исполнивший обязательство, а лишь тот, кто исполнил обязательство в размере, превышающ</w:t>
      </w:r>
      <w:r>
        <w:t>ем его долю, и только в приходящейся на каждого из</w:t>
      </w:r>
      <w:proofErr w:type="gramEnd"/>
      <w:r>
        <w:t xml:space="preserve"> остальных должников части (абзац первый п. 53 постановления Пленума Верховного Суда Российской Федерации от 22 ноября 2016 г. N 54 "О некоторых вопросах применения общих положений Гражданского кодекса Росс</w:t>
      </w:r>
      <w:r>
        <w:t>ийской Федерации об обязательствах и их исполнении").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Таким образом, в случае предоставления совместного обеспечения судам при проверке обоснованности спорного требования следовало выяснить, исполнено ли компанией обязательство перед банком в размере, прев</w:t>
      </w:r>
      <w:r>
        <w:t>ышающем долю данного общества, имея в виду, что при совместном обеспечении компания вправе получить с остальных солидарных должников, выдавших обеспечение, компенсацию в размере того, что компания уплатила сверх падающей на него доли.</w:t>
      </w:r>
      <w:proofErr w:type="gramEnd"/>
      <w:r>
        <w:t xml:space="preserve"> При этом ответственно</w:t>
      </w:r>
      <w:r>
        <w:t>сть перед компанией любого другого солидарного должника в обеспечительном обязательстве определяется исходя из той части превышения, которая приходится на него.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Из существа обеспечительных обязательств, направленных на максимальное удовлетворение требовани</w:t>
      </w:r>
      <w:r>
        <w:t>й кредитора за счет имущества поручителей и залогодателей, и принципа добросовестного осуществления гражданских прав (ст. 10 ГК РФ) следует, что должник в обеспечительном обязательстве, частично исполнивший обязательство перед кредитором, не имеет права на</w:t>
      </w:r>
      <w:r>
        <w:t xml:space="preserve"> удовлетворение своего требования к другому солидарному должнику до полного удовлетворения последним требований кредитора по основному обязательству (применительно к рассматриваемым</w:t>
      </w:r>
      <w:proofErr w:type="gramEnd"/>
      <w:r>
        <w:t xml:space="preserve"> </w:t>
      </w:r>
      <w:proofErr w:type="gramStart"/>
      <w:r>
        <w:t>отношениям - по смыслу абзаца второго п. 30 постановления N 42; в настояще</w:t>
      </w:r>
      <w:r>
        <w:t xml:space="preserve">е время - согласно п. 1 ст. 6, абзацу второму п. 1 ст. 335, п. 4 ст. 364 ГК РФ </w:t>
      </w:r>
      <w:r>
        <w:lastRenderedPageBreak/>
        <w:t>(в редакции Федерального закона от 8 марта 2015 г. N 42-ФЗ "О внесении изменений в часть первую Гражданского кодекса Российской Федерации")).</w:t>
      </w:r>
      <w:proofErr w:type="gramEnd"/>
      <w:r>
        <w:t xml:space="preserve"> С учетом этого судам надлежало уста</w:t>
      </w:r>
      <w:r>
        <w:t>новить, исполнено ли в полном объеме обязательство перед банком по кредитному договору, и в случае частичного неисполнения данного обязательства, включения непогашенной части задолженности перед основным должником по упомянутому кредитному договору в реест</w:t>
      </w:r>
      <w:r>
        <w:t>р требований кредиторов М. определить порядок исполнения требования компании.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Определение N 306-ЭС16-17647 (6)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>17. Определение денежных требований кредитора в рублях в реестре требований кредиторов основного должника-банкрота не изменяет обязательство по</w:t>
      </w:r>
      <w:r>
        <w:t>ручителя, выраженное в иностранной валюте.</w:t>
      </w:r>
    </w:p>
    <w:p w:rsidR="00000000" w:rsidRDefault="007B6E12">
      <w:pPr>
        <w:pStyle w:val="ConsPlusNormal"/>
        <w:ind w:firstLine="540"/>
        <w:jc w:val="both"/>
      </w:pPr>
      <w:r>
        <w:t xml:space="preserve">В обеспечение исполнения обязательств общества (основной должник) по возврату кредита банку (кредитор) банком и компанией (поручитель) заключен договор поручительства, в </w:t>
      </w:r>
      <w:proofErr w:type="gramStart"/>
      <w:r>
        <w:t>соответствии</w:t>
      </w:r>
      <w:proofErr w:type="gramEnd"/>
      <w:r>
        <w:t xml:space="preserve"> с условиями которого установле</w:t>
      </w:r>
      <w:r>
        <w:t>но, что поручитель обязан осуществить платеж в валюте евро.</w:t>
      </w:r>
    </w:p>
    <w:p w:rsidR="00000000" w:rsidRDefault="007B6E12">
      <w:pPr>
        <w:pStyle w:val="ConsPlusNormal"/>
        <w:ind w:firstLine="540"/>
        <w:jc w:val="both"/>
      </w:pPr>
      <w:r>
        <w:t>Впоследствии общество признано банкротом, открыто конкурсное производство.</w:t>
      </w:r>
    </w:p>
    <w:p w:rsidR="00000000" w:rsidRDefault="007B6E12">
      <w:pPr>
        <w:pStyle w:val="ConsPlusNormal"/>
        <w:ind w:firstLine="540"/>
        <w:jc w:val="both"/>
      </w:pPr>
      <w:r>
        <w:t>Определением от 12 октября 2015 г. арбитражный суд включил требования банка в размере 7 604 782 рублей 69 копеек основног</w:t>
      </w:r>
      <w:r>
        <w:t>о долга, 69 047 рублей 82 копеек процентов за пользование денежными средствами и 143 рублей 11 копеек неустойки в третью очередь реестра требований кредиторов общества.</w:t>
      </w:r>
    </w:p>
    <w:p w:rsidR="00000000" w:rsidRDefault="007B6E12">
      <w:pPr>
        <w:pStyle w:val="ConsPlusNormal"/>
        <w:ind w:firstLine="540"/>
        <w:jc w:val="both"/>
      </w:pPr>
      <w:r>
        <w:t>Банк обратился в арбитражный суд с иском к компании (поручитель) о взыскании по договор</w:t>
      </w:r>
      <w:r>
        <w:t>у поручительства 154 125, 34 евро в рублях по курсу Центрального банка Российской Федерации на дату фактического платежа.</w:t>
      </w:r>
    </w:p>
    <w:p w:rsidR="00000000" w:rsidRDefault="007B6E12">
      <w:pPr>
        <w:pStyle w:val="ConsPlusNormal"/>
        <w:ind w:firstLine="540"/>
        <w:jc w:val="both"/>
      </w:pPr>
      <w:r>
        <w:t>Решением суда первой инстанции исковые требования удовлетворены частично. Суд пришел к выводу о том, что ответственность поручителя ог</w:t>
      </w:r>
      <w:r>
        <w:t>раничена пределами суммы, включенной в реестр требований кредиторов основного должника.</w:t>
      </w:r>
    </w:p>
    <w:p w:rsidR="00000000" w:rsidRDefault="007B6E12">
      <w:pPr>
        <w:pStyle w:val="ConsPlusNormal"/>
        <w:ind w:firstLine="540"/>
        <w:jc w:val="both"/>
      </w:pPr>
      <w:r>
        <w:t>Постановлением суда апелляционной инстанции, оставленным без изменения постановлением арбитражного суда округа, решение суда первой инстанции отменено в части взыскания</w:t>
      </w:r>
      <w:r>
        <w:t xml:space="preserve"> с компании сумм процентов и неустойки, в удовлетворении указанных требований отказано. При этом суды согласились с выводом о том, что взыскание с поручителя долга в валюте с пересчетом по курсу на дату фактического платежа ставит поручителя в заведомо нев</w:t>
      </w:r>
      <w:r>
        <w:t>ыгодное положение по отношению к основному должнику, для которого долг уже установлен и зафиксирован в рублях.</w:t>
      </w:r>
    </w:p>
    <w:p w:rsidR="00000000" w:rsidRDefault="007B6E12">
      <w:pPr>
        <w:pStyle w:val="ConsPlusNormal"/>
        <w:ind w:firstLine="540"/>
        <w:jc w:val="both"/>
      </w:pPr>
      <w:r>
        <w:t>Судебная коллегия Верховного Суда Российской Федерации отменила названные судебные акты и направила дело на новое рассмотрение в суд первой инстанции по следующим основаниям.</w:t>
      </w:r>
    </w:p>
    <w:p w:rsidR="00000000" w:rsidRDefault="007B6E12">
      <w:pPr>
        <w:pStyle w:val="ConsPlusNormal"/>
        <w:ind w:firstLine="540"/>
        <w:jc w:val="both"/>
      </w:pPr>
      <w:r>
        <w:t>По смыслу ст. 361 и п. 2 ст. 363 ГК РФ, выдавая обеспечение, поручитель принимает</w:t>
      </w:r>
      <w:r>
        <w:t xml:space="preserve"> на себя все риски неисправности должника, в том числе связанные с банкротством последнего.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Для упорядочения ведения реестра требований кредиторов законодательство о банкротстве содержит специальные правила, определяющие порядок перевода денежных требовани</w:t>
      </w:r>
      <w:r>
        <w:t>й в иностранной валюте в валюту Российской Федерации (абзац четвертый п. 1 ст. 4 Закона о банкротстве), исходя из которых банк зафиксировал валютный долг в отношении основного должника в рублях по курсу на дату введения наблюдения.</w:t>
      </w:r>
      <w:proofErr w:type="gramEnd"/>
      <w:r>
        <w:t xml:space="preserve"> В то же время валюта пла</w:t>
      </w:r>
      <w:r>
        <w:t>тежа по кредитному договору и договору поручительства осталась неизменной.</w:t>
      </w:r>
    </w:p>
    <w:p w:rsidR="00000000" w:rsidRDefault="007B6E12">
      <w:pPr>
        <w:pStyle w:val="ConsPlusNormal"/>
        <w:ind w:firstLine="540"/>
        <w:jc w:val="both"/>
      </w:pPr>
      <w:r>
        <w:t>Определение денежных требований к должнику в рублевом эквиваленте в реестре требований кредиторов не изменяет обязательств поручителя и не ставит его в заведомо невыгодное положение</w:t>
      </w:r>
      <w:r>
        <w:t xml:space="preserve"> по отношению к основному должнику, учитывая, что курсовая валютная разница может принимать как отрицательные, так и положительные значения. Изменение судами валюты платежа поручителя, установленной договором, при банкротстве основного должника противоречи</w:t>
      </w:r>
      <w:r>
        <w:t>т смыслу обеспечительного обязательства, как установленного на случай невозврата полученного блага.</w:t>
      </w:r>
    </w:p>
    <w:p w:rsidR="00000000" w:rsidRDefault="007B6E12">
      <w:pPr>
        <w:pStyle w:val="ConsPlusNormal"/>
        <w:ind w:firstLine="540"/>
        <w:jc w:val="both"/>
      </w:pPr>
      <w:r>
        <w:t>В связи с тем, что в отношении поручителя на момент рассмотрения настоящего спора не возбуждены процедуры банкротства, положения п. 51 постановления Пленума</w:t>
      </w:r>
      <w:r>
        <w:t xml:space="preserve"> Высшего Арбитражного Суда Российской Федерации от 12 июля 2012 г. N 42 "О некоторых вопросах разрешения споров, связанных с поручительством" не подлежат применению.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Определение N 305-ЭС16-19525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>18. Само по себе то обстоятельство, что при заключении дого</w:t>
      </w:r>
      <w:r>
        <w:t>вора перенайма арендатор освобождается от внесения арендной платы на будущий период, не является основанием для отказа в удовлетворении требования о признании этой сделки недействительной в силу положений п. 1 ст. 61.2 Закона о банкротстве.</w:t>
      </w:r>
    </w:p>
    <w:p w:rsidR="00000000" w:rsidRDefault="007B6E12">
      <w:pPr>
        <w:pStyle w:val="ConsPlusNormal"/>
        <w:ind w:firstLine="540"/>
        <w:jc w:val="both"/>
      </w:pPr>
      <w:r>
        <w:t xml:space="preserve">Уполномоченным </w:t>
      </w:r>
      <w:r>
        <w:t xml:space="preserve">органом (арендодатель) и предприятием (арендатор) заключен договор аренды </w:t>
      </w:r>
      <w:r>
        <w:lastRenderedPageBreak/>
        <w:t>земельных участков сельскохозяйственного назначения, принадлежащих муниципальному образованию.</w:t>
      </w:r>
    </w:p>
    <w:p w:rsidR="00000000" w:rsidRDefault="007B6E12">
      <w:pPr>
        <w:pStyle w:val="ConsPlusNormal"/>
        <w:ind w:firstLine="540"/>
        <w:jc w:val="both"/>
      </w:pPr>
      <w:r>
        <w:t>Впоследствии предприятием (арендатор) и главой крестьянского (фермерского) хозяйства (н</w:t>
      </w:r>
      <w:r>
        <w:t>овый арендатор; далее - глава КФХ) с согласия уполномоченного органа заключен договор о передаче прав и обязанностей по договору аренды новому арендатору.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Полагая, что указанный договор является подозрительной сделкой, так как заключен при неравноценном вс</w:t>
      </w:r>
      <w:r>
        <w:t xml:space="preserve">тречном исполнении обязательств со стороны нового арендатора, конкурсный управляющий имуществом предприятия обратился в арбитражный суд с заявлением о признании этого договора недействительным и о применении последствий недействительности сделки в виде </w:t>
      </w:r>
      <w:proofErr w:type="spellStart"/>
      <w:r>
        <w:t>обя</w:t>
      </w:r>
      <w:r>
        <w:t>зания</w:t>
      </w:r>
      <w:proofErr w:type="spellEnd"/>
      <w:r>
        <w:t xml:space="preserve"> главы КФХ возвратить право аренды земельных участков в конкурсную массу предприятия.</w:t>
      </w:r>
      <w:proofErr w:type="gramEnd"/>
    </w:p>
    <w:p w:rsidR="00000000" w:rsidRDefault="007B6E12">
      <w:pPr>
        <w:pStyle w:val="ConsPlusNormal"/>
        <w:ind w:firstLine="540"/>
        <w:jc w:val="both"/>
      </w:pPr>
      <w:r>
        <w:t>Определением суда первой инстанции требования конкурсного управляющего удовлетворены.</w:t>
      </w:r>
    </w:p>
    <w:p w:rsidR="00000000" w:rsidRDefault="007B6E12">
      <w:pPr>
        <w:pStyle w:val="ConsPlusNormal"/>
        <w:ind w:firstLine="540"/>
        <w:jc w:val="both"/>
      </w:pPr>
      <w:r>
        <w:t>Постановлением суда апелляционной инстанции, оставленным без изменения постанов</w:t>
      </w:r>
      <w:r>
        <w:t xml:space="preserve">лением арбитражного суда округа, определение суда первой инстанции отменено, в удовлетворении заявленных требований отказано. Суды руководствовались положениями п. 2 ст. 615 ГК РФ и </w:t>
      </w:r>
      <w:proofErr w:type="spellStart"/>
      <w:r>
        <w:t>пп</w:t>
      </w:r>
      <w:proofErr w:type="spellEnd"/>
      <w:r>
        <w:t>. 5, 9 ст. 22 ЗК РФ и указали на то, что предприятие освободилось от бре</w:t>
      </w:r>
      <w:r>
        <w:t xml:space="preserve">мени несения арендной платы, в </w:t>
      </w:r>
      <w:proofErr w:type="gramStart"/>
      <w:r>
        <w:t>связи</w:t>
      </w:r>
      <w:proofErr w:type="gramEnd"/>
      <w:r>
        <w:t xml:space="preserve"> с чем данную сделку нельзя признать совершенной при неравноценном встречном предоставлении.</w:t>
      </w:r>
    </w:p>
    <w:p w:rsidR="00000000" w:rsidRDefault="007B6E12">
      <w:pPr>
        <w:pStyle w:val="ConsPlusNormal"/>
        <w:ind w:firstLine="540"/>
        <w:jc w:val="both"/>
      </w:pPr>
      <w:r>
        <w:t xml:space="preserve">Судебная коллегия Верховного Суда Российской Федерации отменила постановления суда апелляционной инстанции и арбитражного суда </w:t>
      </w:r>
      <w:r>
        <w:t>округа и оставила в силе определение суда первой инстанции по следующим основаниям.</w:t>
      </w:r>
    </w:p>
    <w:p w:rsidR="00000000" w:rsidRDefault="007B6E12">
      <w:pPr>
        <w:pStyle w:val="ConsPlusNormal"/>
        <w:ind w:firstLine="540"/>
        <w:jc w:val="both"/>
      </w:pPr>
      <w:r>
        <w:t xml:space="preserve">Оценивая соглашение о перенайме (п. 2 ст. 615 ГК РФ) применительно к положениям п. 1 ст. 61.2 Закона о банкротстве, следует проанализировать, </w:t>
      </w:r>
      <w:proofErr w:type="gramStart"/>
      <w:r>
        <w:t>позиция</w:t>
      </w:r>
      <w:proofErr w:type="gramEnd"/>
      <w:r>
        <w:t xml:space="preserve"> какой из сторон догово</w:t>
      </w:r>
      <w:r>
        <w:t>ра аренды обладает большей коммерческой ценностью, и необходимо ли в связи с этим взимать с нового арендатора дополнительную плату за передачу договора.</w:t>
      </w:r>
    </w:p>
    <w:p w:rsidR="00000000" w:rsidRDefault="007B6E12">
      <w:pPr>
        <w:pStyle w:val="ConsPlusNormal"/>
        <w:ind w:firstLine="540"/>
        <w:jc w:val="both"/>
      </w:pPr>
      <w:r>
        <w:t>По смыслу ст. 606 ГК РФ предполагается, что соглашение об аренде является взаимным и в целом предполага</w:t>
      </w:r>
      <w:r>
        <w:t>ет обмен равными ценностями. Вместе с тем в каждом конкретном случае во внимание должно приниматься, что передача прав и обязанностей осуществляется по уже исполняемому договору. Кроме того, следует учитывать специфику возникновения арендных отношений, в с</w:t>
      </w:r>
      <w:r>
        <w:t>илу которой арендодатель может взимать плату с желающих принять имущество в аренду участников гражданского оборота за вступление с ним в хозяйственные отношения по поводу конкретного предмета пользования.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>В рамках настоящего спора конкурсный управляющий пр</w:t>
      </w:r>
      <w:r>
        <w:t>едставил в дело доказательства того, что в период после заключения оспариваемого соглашения перенайма муниципальным образованием проводились торги на право заключения договора аренды муниципального имущества - земельных участков, по своим характеристикам с</w:t>
      </w:r>
      <w:r>
        <w:t>хожих со спорными участками (участки находились в том же районе, принадлежали к той же категории земель и т.п.), и по результатам проведения названных торгов</w:t>
      </w:r>
      <w:proofErr w:type="gramEnd"/>
      <w:r>
        <w:t xml:space="preserve"> были выявлены победители, уплатившие муниципальному образованию денежные средства за право на закл</w:t>
      </w:r>
      <w:r>
        <w:t>ючение договора аренды.</w:t>
      </w:r>
    </w:p>
    <w:p w:rsidR="00000000" w:rsidRDefault="007B6E12">
      <w:pPr>
        <w:pStyle w:val="ConsPlusNormal"/>
        <w:ind w:firstLine="540"/>
        <w:jc w:val="both"/>
      </w:pPr>
      <w:r>
        <w:t>Таким образом, при наличии спроса на спорные объекты аренды перенаем в любом случае не мог быть осуществлен без взимания с главы КФХ дополнительной платы за вступление в договор в качестве арендатора. При таких условиях суд первой и</w:t>
      </w:r>
      <w:r>
        <w:t>нстанции пришел к правильному выводу, что условия оспариваемой сделки, не предусматривающие такой платы, в существенно худшую для предприятия сторону отличались от условий, при которых в сравнимых обстоятельствах заключаются аналогичные сделки.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</w:t>
      </w:r>
      <w:r>
        <w:t>е N 303-ЭС16-16877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>19. При рассмотрении спора о признании недействительной сделки на основании положений п. 2 ст. 61.2 Закона о банкротстве для определения того, причинила ли оспариваемая сделка вред кредиторам, суд должен учесть условия других взаимосвяз</w:t>
      </w:r>
      <w:r>
        <w:t>анных с ней сделок, определяющих общий экономический эффект для имущественного положения должника.</w:t>
      </w:r>
    </w:p>
    <w:p w:rsidR="00000000" w:rsidRDefault="007B6E12">
      <w:pPr>
        <w:pStyle w:val="ConsPlusNormal"/>
        <w:ind w:firstLine="540"/>
        <w:jc w:val="both"/>
      </w:pPr>
      <w:r>
        <w:t>Завод (продавец) и общество (покупатель) заключили договор купли-продажи, в соответствии с которым продавец обязался передать в собственность покупателя опре</w:t>
      </w:r>
      <w:r>
        <w:t>деленное имущество, а покупатель - оплатить данное имущество. Согласно условиям договора имущество приобретается обществом для последующей передачи заводу по договору лизинга.</w:t>
      </w:r>
    </w:p>
    <w:p w:rsidR="00000000" w:rsidRDefault="007B6E12">
      <w:pPr>
        <w:pStyle w:val="ConsPlusNormal"/>
        <w:ind w:firstLine="540"/>
        <w:jc w:val="both"/>
      </w:pPr>
      <w:r>
        <w:t>Впоследствии завод признан несостоятельным (банкротом) и в отношении него открыт</w:t>
      </w:r>
      <w:r>
        <w:t>о конкурсное производство по упрощенной процедуре банкротства ликвидируемого должника.</w:t>
      </w:r>
    </w:p>
    <w:p w:rsidR="00000000" w:rsidRDefault="007B6E12">
      <w:pPr>
        <w:pStyle w:val="ConsPlusNormal"/>
        <w:ind w:firstLine="540"/>
        <w:jc w:val="both"/>
      </w:pPr>
      <w:r>
        <w:t>Конкурсный управляющий имуществом завода обратился в арбитражный суд с заявлением о признании договора купли-продажи недействительным, как совершенного во вред кредитора</w:t>
      </w:r>
      <w:r>
        <w:t>м завода.</w:t>
      </w:r>
    </w:p>
    <w:p w:rsidR="00000000" w:rsidRDefault="007B6E12">
      <w:pPr>
        <w:pStyle w:val="ConsPlusNormal"/>
        <w:ind w:firstLine="540"/>
        <w:jc w:val="both"/>
      </w:pPr>
      <w:r>
        <w:t>Определением суда первой инстанции, оставленным без изменения постановлениями суда апелляционной инстанции и арбитражного суда округа, в удовлетворении заявления отказано.</w:t>
      </w:r>
    </w:p>
    <w:p w:rsidR="00000000" w:rsidRDefault="007B6E12">
      <w:pPr>
        <w:pStyle w:val="ConsPlusNormal"/>
        <w:ind w:firstLine="540"/>
        <w:jc w:val="both"/>
      </w:pPr>
      <w:r>
        <w:t xml:space="preserve">Судебная коллегия Верховного Суда Российской Федерации отменила названные судебные акты и </w:t>
      </w:r>
      <w:r>
        <w:lastRenderedPageBreak/>
        <w:t>направила обособленный спор на новое рассмотрение в суд первой инстанции по следующим основаниям.</w:t>
      </w:r>
    </w:p>
    <w:p w:rsidR="00000000" w:rsidRDefault="007B6E12">
      <w:pPr>
        <w:pStyle w:val="ConsPlusNormal"/>
        <w:ind w:firstLine="540"/>
        <w:jc w:val="both"/>
      </w:pPr>
      <w:r>
        <w:t>В день подписания спорного договора заводом и обществом заключены дв</w:t>
      </w:r>
      <w:r>
        <w:t>а договора лизинга и договор аренды земельного участка, по условиям которых отчуждаемое по договору купли-продажи имущество передавалось во владение и пользование заводу с правом последующего выкупа.</w:t>
      </w:r>
    </w:p>
    <w:p w:rsidR="00000000" w:rsidRDefault="007B6E12">
      <w:pPr>
        <w:pStyle w:val="ConsPlusNormal"/>
        <w:ind w:firstLine="540"/>
        <w:jc w:val="both"/>
      </w:pPr>
      <w:proofErr w:type="gramStart"/>
      <w:r>
        <w:t xml:space="preserve">Продажа имущества с последующим одновременным принятием </w:t>
      </w:r>
      <w:r>
        <w:t>его в пользование по договору лизинга и необходимостью уплаты в течение определенного периода лизинговых платежей в целях обратного выкупа с экономической точки зрения является кредитованием покупателя продавцом (в том числе для погашения задолженности пер</w:t>
      </w:r>
      <w:r>
        <w:t>ед прежними кредиторами) с временным предоставлением последнему титула собственника в качестве гарантии возврата финансирования и платы за него в виде процентов</w:t>
      </w:r>
      <w:proofErr w:type="gramEnd"/>
      <w:r>
        <w:t>, что соответствует законодательству (ст. 421 ГК РФ, п. 1 ст. 4 Федерального закона от 29 октябр</w:t>
      </w:r>
      <w:r>
        <w:t>я 1998 г. N 164-ФЗ "О финансовой аренде (лизинге")).</w:t>
      </w:r>
    </w:p>
    <w:p w:rsidR="00000000" w:rsidRDefault="007B6E12">
      <w:pPr>
        <w:pStyle w:val="ConsPlusNormal"/>
        <w:ind w:firstLine="540"/>
        <w:jc w:val="both"/>
      </w:pPr>
      <w:r>
        <w:t>Вместе с тем при таких обстоятельствах оценка действительности сделки по купле-продаже не могла производиться без учета всей совокупности отношений, так как данная сделка являлась одним из элементов реал</w:t>
      </w:r>
      <w:r>
        <w:t>изации плана по кредитованию должника с использованием механизма возвратного лизинга. На разрешение вопроса о равноценности встречного предоставления влияет соотношение совокупного размера лизинговых платежей и цены спорного договора. Поскольку цена догово</w:t>
      </w:r>
      <w:r>
        <w:t>ра лизинга, по сути, определяет объем обязатель</w:t>
      </w:r>
      <w:proofErr w:type="gramStart"/>
      <w:r>
        <w:t>ств пр</w:t>
      </w:r>
      <w:proofErr w:type="gramEnd"/>
      <w:r>
        <w:t xml:space="preserve">одавца по возврату финансирования и уплате процентов, рыночная стоимость предмета возвратного лизинга должна быть сопоставима именно с этой ценой. В свою очередь, разница между ценами договора лизинга и </w:t>
      </w:r>
      <w:r>
        <w:t>договора купли-продажи предопределяется сложившимися ставками финансирования на рынке лизинговых услуг, согласованным сторонами периодом такого финансирования и иными объективными факторами.</w:t>
      </w:r>
    </w:p>
    <w:p w:rsidR="00000000" w:rsidRDefault="007B6E12">
      <w:pPr>
        <w:pStyle w:val="ConsPlusNormal"/>
        <w:ind w:firstLine="540"/>
        <w:jc w:val="both"/>
      </w:pPr>
      <w:r>
        <w:t>В связи с этим при определении такого признака подозрительной сде</w:t>
      </w:r>
      <w:r>
        <w:t xml:space="preserve">лки по п. 2 ст. 61.2 Закона о банкротстве, как причинение вреда от купли-продажи имущества завода, во внимание следовало принимать совокупный экономический эффект для должника от вступления в несколько объединенных общей целью юридических отношений. Иными </w:t>
      </w:r>
      <w:r>
        <w:t>словами, для признания условий конкретной сделки несправедливыми необходимо учитывать условия других взаимосвязанных сделок и обстоятельства их заключения.</w:t>
      </w:r>
    </w:p>
    <w:p w:rsidR="00000000" w:rsidRDefault="007B6E12">
      <w:pPr>
        <w:pStyle w:val="ConsPlusNormal"/>
        <w:ind w:firstLine="540"/>
        <w:jc w:val="both"/>
      </w:pPr>
      <w:r>
        <w:t>Разумность и экономическая обоснованность предложенных обществом должнику условий путем их сопоставл</w:t>
      </w:r>
      <w:r>
        <w:t>ения с аналогичными совершаемыми в тот же период сделками судами не проверялись.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right"/>
      </w:pPr>
      <w:r>
        <w:t>Определение N 307-ЭС16-3765 (4, 5)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both"/>
      </w:pPr>
    </w:p>
    <w:p w:rsidR="00E1500C" w:rsidRDefault="00E1500C">
      <w:pPr>
        <w:pStyle w:val="ConsPlusNormal"/>
        <w:jc w:val="both"/>
      </w:pPr>
    </w:p>
    <w:p w:rsidR="00000000" w:rsidRDefault="007B6E12">
      <w:pPr>
        <w:pStyle w:val="ConsPlusNormal"/>
        <w:jc w:val="both"/>
      </w:pPr>
    </w:p>
    <w:p w:rsidR="00000000" w:rsidRPr="00E1500C" w:rsidRDefault="007B6E12">
      <w:pPr>
        <w:pStyle w:val="ConsPlusNormal"/>
        <w:jc w:val="center"/>
        <w:outlineLvl w:val="0"/>
        <w:rPr>
          <w:b/>
        </w:rPr>
      </w:pPr>
      <w:r w:rsidRPr="00E1500C">
        <w:rPr>
          <w:b/>
        </w:rPr>
        <w:t>РАЗЪЯСНЕНИЯ ПО ВОПРОСАМ, ВОЗНИКАЮЩИМ В СУДЕБНОЙ ПРАКТИКЕ</w:t>
      </w: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jc w:val="both"/>
      </w:pPr>
    </w:p>
    <w:p w:rsidR="00000000" w:rsidRDefault="007B6E12">
      <w:pPr>
        <w:pStyle w:val="ConsPlusNormal"/>
        <w:ind w:firstLine="540"/>
        <w:jc w:val="both"/>
      </w:pPr>
      <w:r>
        <w:t>ВОПРОС 2. В какой очередности в рамках дела о банкротстве производятся расчеты по требованиям об уплате основной задолженности по страховым взносам в Российской Федерации?</w:t>
      </w:r>
    </w:p>
    <w:p w:rsidR="00000000" w:rsidRDefault="007B6E12">
      <w:pPr>
        <w:pStyle w:val="ConsPlusNormal"/>
        <w:ind w:firstLine="540"/>
        <w:jc w:val="both"/>
      </w:pPr>
      <w:r>
        <w:t xml:space="preserve">ОТВЕТ. </w:t>
      </w:r>
      <w:proofErr w:type="gramStart"/>
      <w:r>
        <w:t>Исходя из особой правовой природы и предназначения страховых взносо</w:t>
      </w:r>
      <w:r>
        <w:t xml:space="preserve">в на обязательное пенсионное страхование расчеты по соответствующим требованиям в делах о банкротстве осуществляются в порядке, установленном для погашения задолженности по заработной плате (п. 14 Обзора судебной практики по вопросам, связанным с участием </w:t>
      </w:r>
      <w:r>
        <w:t>уполномоченных органов в делах о банкротстве и применяемых в этих делах процедурах банкротства, утвержденного Президиумом Верховного Суда Российской Федерации</w:t>
      </w:r>
      <w:proofErr w:type="gramEnd"/>
      <w:r>
        <w:t xml:space="preserve"> </w:t>
      </w:r>
      <w:proofErr w:type="gramStart"/>
      <w:r>
        <w:t>20 декабря 2016 г.).</w:t>
      </w:r>
      <w:proofErr w:type="gramEnd"/>
      <w:r>
        <w:t xml:space="preserve"> </w:t>
      </w:r>
      <w:proofErr w:type="gramStart"/>
      <w:r>
        <w:t>Поэтому в соответствии с абзацем третьим п. 2 и абзацем третьим п. 4 ст. 134</w:t>
      </w:r>
      <w:r>
        <w:t xml:space="preserve"> Федерального закона от 26 октября 2002 г. N 127-ФЗ "О несостоятельности (банкротстве)" (далее - Закон о банкротстве) соответствующая основная задолженность, возникшая после принятия заявления о признании должника банкротом, относится ко второй очереди удо</w:t>
      </w:r>
      <w:r>
        <w:t>влетворения текущих платежей, а задолженность, не являющаяся текущей, подлежит включению во вторую очередь реестра</w:t>
      </w:r>
      <w:proofErr w:type="gramEnd"/>
      <w:r>
        <w:t xml:space="preserve"> требований кредиторов должника.</w:t>
      </w:r>
    </w:p>
    <w:p w:rsidR="00000000" w:rsidRDefault="007B6E12">
      <w:pPr>
        <w:pStyle w:val="ConsPlusNormal"/>
        <w:ind w:firstLine="540"/>
        <w:jc w:val="both"/>
      </w:pPr>
      <w:r>
        <w:t>При этом следует учитывать, что в случае недостаточности имеющихся у должника денежных сре</w:t>
      </w:r>
      <w:proofErr w:type="gramStart"/>
      <w:r>
        <w:t>дств дл</w:t>
      </w:r>
      <w:proofErr w:type="gramEnd"/>
      <w:r>
        <w:t xml:space="preserve">я погашения </w:t>
      </w:r>
      <w:r>
        <w:t xml:space="preserve">всей текущей задолженности, относящейся ко второй очереди удовлетворения, расчеты с кредиторами согласно абзацу седьмому п. 2 ст. 134 Закона о банкротстве производятся в порядке календарной очередности. </w:t>
      </w:r>
      <w:proofErr w:type="gramStart"/>
      <w:r>
        <w:t>Вопрос об изменении календарной очередности погашения</w:t>
      </w:r>
      <w:r>
        <w:t xml:space="preserve"> текущих требований кредиторов второй очереди удовлетворения (о приоритетном погашении требований по заработной плате) может быть разрешен судом, рассматривающим дело о банкротстве, с учетом сохраняющих свою силу разъяснений, содержащихся в абзаце третьем </w:t>
      </w:r>
      <w:r>
        <w:t>п. 40.1 постановления Пленума Высшего Арбитражного Суда Российской Федерации от 23 июля 2009 г. N 60 "О некоторых вопросах, связанных с принятием Федерального</w:t>
      </w:r>
      <w:proofErr w:type="gramEnd"/>
      <w:r>
        <w:t xml:space="preserve"> закона от 30 декабря 2008 г. N 296-ФЗ "О внесении изменений в Федеральный закон "О несостоятельно</w:t>
      </w:r>
      <w:r>
        <w:t xml:space="preserve">сти </w:t>
      </w:r>
      <w:r>
        <w:lastRenderedPageBreak/>
        <w:t>(банкротстве)".</w:t>
      </w:r>
    </w:p>
    <w:p w:rsidR="007B6E12" w:rsidRDefault="007B6E12">
      <w:pPr>
        <w:pStyle w:val="ConsPlusNormal"/>
        <w:ind w:firstLine="540"/>
        <w:jc w:val="both"/>
      </w:pPr>
      <w:r>
        <w:t>Указанный специальный режим удовлетворения, установленный для погашения задолженности по страховым взносам на обязательное пенсионное страхование, не применяется в отношении иных страховых взносов в Российской Федерации (на обязательное</w:t>
      </w:r>
      <w:r>
        <w:t xml:space="preserve"> социальное страхование на случай временной нетрудоспособности, на обязательное медицинское страхование). </w:t>
      </w:r>
      <w:proofErr w:type="gramStart"/>
      <w:r>
        <w:t>Так, по общему правилу требования об уплате задолженности по другим страховым взносам в Российской Федерации, возникшие после принятия заявления о при</w:t>
      </w:r>
      <w:r>
        <w:t>знании должника банкротом, относятся к пятой очереди удовлетворения текущих платежей, а задолженность, не являющаяся текущей, подлежит включению в третью очередь реестра требований кредиторов должника (абзац шестой п. 2, абзац четвертый п. 4 ст. 134 Закона</w:t>
      </w:r>
      <w:r>
        <w:t xml:space="preserve"> о банкротстве).</w:t>
      </w:r>
      <w:proofErr w:type="gramEnd"/>
    </w:p>
    <w:sectPr w:rsidR="007B6E12" w:rsidSect="00E1500C">
      <w:headerReference w:type="default" r:id="rId7"/>
      <w:pgSz w:w="11906" w:h="16838"/>
      <w:pgMar w:top="1440" w:right="566" w:bottom="1440" w:left="1133" w:header="0" w:footer="2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12" w:rsidRDefault="007B6E12">
      <w:pPr>
        <w:spacing w:after="0" w:line="240" w:lineRule="auto"/>
      </w:pPr>
      <w:r>
        <w:separator/>
      </w:r>
    </w:p>
  </w:endnote>
  <w:endnote w:type="continuationSeparator" w:id="0">
    <w:p w:rsidR="007B6E12" w:rsidRDefault="007B6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12" w:rsidRDefault="007B6E12">
      <w:pPr>
        <w:spacing w:after="0" w:line="240" w:lineRule="auto"/>
      </w:pPr>
      <w:r>
        <w:separator/>
      </w:r>
    </w:p>
  </w:footnote>
  <w:footnote w:type="continuationSeparator" w:id="0">
    <w:p w:rsidR="007B6E12" w:rsidRDefault="007B6E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6E12">
          <w:pPr>
            <w:pStyle w:val="ConsPlusNormal"/>
            <w:rPr>
              <w:sz w:val="16"/>
              <w:szCs w:val="16"/>
            </w:rPr>
          </w:pPr>
          <w:proofErr w:type="gramStart"/>
          <w:r>
            <w:rPr>
              <w:sz w:val="16"/>
              <w:szCs w:val="16"/>
            </w:rPr>
            <w:t>"Обзор судебной практики Верховного Суда Российской Федерации N 3 (2017)"</w:t>
          </w:r>
          <w:r>
            <w:rPr>
              <w:sz w:val="16"/>
              <w:szCs w:val="16"/>
            </w:rPr>
            <w:br/>
            <w:t>(утв. Президиумом Верховного Суда РФ 12.07.201...</w:t>
          </w:r>
          <w:proofErr w:type="gramEnd"/>
        </w:p>
        <w:p w:rsidR="00E1500C" w:rsidRDefault="00E1500C">
          <w:pPr>
            <w:pStyle w:val="ConsPlusNormal"/>
            <w:rPr>
              <w:sz w:val="16"/>
              <w:szCs w:val="16"/>
            </w:rPr>
          </w:pPr>
        </w:p>
        <w:p w:rsidR="00E1500C" w:rsidRPr="00E1500C" w:rsidRDefault="00E1500C">
          <w:pPr>
            <w:pStyle w:val="ConsPlusNormal"/>
            <w:rPr>
              <w:b/>
              <w:sz w:val="16"/>
              <w:szCs w:val="16"/>
            </w:rPr>
          </w:pPr>
          <w:r w:rsidRPr="00E1500C">
            <w:rPr>
              <w:b/>
              <w:color w:val="FF0000"/>
              <w:szCs w:val="16"/>
            </w:rPr>
            <w:t>ВЫДЕРЖКА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6E12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7B6E12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B6E12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18.08.2017</w:t>
          </w:r>
        </w:p>
      </w:tc>
    </w:tr>
  </w:tbl>
  <w:p w:rsidR="00000000" w:rsidRDefault="007B6E12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B6E12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D9D"/>
    <w:rsid w:val="007B6E12"/>
    <w:rsid w:val="00E1500C"/>
    <w:rsid w:val="00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00C"/>
  </w:style>
  <w:style w:type="paragraph" w:styleId="a7">
    <w:name w:val="footer"/>
    <w:basedOn w:val="a"/>
    <w:link w:val="a8"/>
    <w:uiPriority w:val="99"/>
    <w:unhideWhenUsed/>
    <w:rsid w:val="00E1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15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00C"/>
  </w:style>
  <w:style w:type="paragraph" w:styleId="a7">
    <w:name w:val="footer"/>
    <w:basedOn w:val="a"/>
    <w:link w:val="a8"/>
    <w:uiPriority w:val="99"/>
    <w:unhideWhenUsed/>
    <w:rsid w:val="00E150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4362</Words>
  <Characters>24869</Characters>
  <Application>Microsoft Office Word</Application>
  <DocSecurity>2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"Обзор судебной практики Верховного Суда Российской Федерации N 3 (2017)"(утв. Президиумом Верховного Суда РФ 12.07.2017)</vt:lpstr>
    </vt:vector>
  </TitlesOfParts>
  <Company>КонсультантПлюс Версия 4016.00.32</Company>
  <LinksUpToDate>false</LinksUpToDate>
  <CharactersWithSpaces>29173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"Обзор судебной практики Верховного Суда Российской Федерации N 3 (2017)"(утв. Президиумом Верховного Суда РФ 12.07.2017)</dc:title>
  <dc:creator>Антон Кондрашов</dc:creator>
  <cp:lastModifiedBy>Антон Кондрашов</cp:lastModifiedBy>
  <cp:revision>2</cp:revision>
  <dcterms:created xsi:type="dcterms:W3CDTF">2017-08-18T11:58:00Z</dcterms:created>
  <dcterms:modified xsi:type="dcterms:W3CDTF">2017-08-18T11:58:00Z</dcterms:modified>
</cp:coreProperties>
</file>